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Fonts w:ascii="Times New Roman CYR" w:eastAsia="Times New Roman CYR" w:hAnsi="Times New Roman CYR" w:cs="Times New Roman CYR"/>
        </w:rPr>
        <w:t>г. Ханты-Мансийск</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13 февраля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Ханты-Мансийского автономного округа – Югры Худяков А.В.,</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47</w:t>
      </w:r>
      <w:r>
        <w:rPr>
          <w:rFonts w:ascii="Times New Roman CYR" w:eastAsia="Times New Roman CYR" w:hAnsi="Times New Roman CYR" w:cs="Times New Roman CYR"/>
          <w:b/>
          <w:bCs/>
        </w:rPr>
        <w:t>-2801</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Вихорь Антона Денисовича</w:t>
      </w:r>
      <w:r>
        <w:rPr>
          <w:rFonts w:ascii="Times New Roman CYR" w:eastAsia="Times New Roman CYR" w:hAnsi="Times New Roman CYR" w:cs="Times New Roman CYR"/>
        </w:rPr>
        <w:t xml:space="preserve">, </w:t>
      </w:r>
      <w:r>
        <w:rPr>
          <w:rStyle w:val="cat-UserDefinedgrp-21rplc-7"/>
          <w:rFonts w:ascii="Times New Roman CYR" w:eastAsia="Times New Roman CYR" w:hAnsi="Times New Roman CYR" w:cs="Times New Roman CYR"/>
        </w:rPr>
        <w:t>...</w:t>
      </w:r>
    </w:p>
    <w:p>
      <w:pPr>
        <w:spacing w:before="0" w:after="0"/>
        <w:ind w:firstLine="720"/>
        <w:jc w:val="both"/>
      </w:pP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22.10.2025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xml:space="preserve">., проживающий по адресу: </w:t>
      </w:r>
      <w:r>
        <w:rPr>
          <w:rStyle w:val="cat-UserDefinedgrp-22rplc-16"/>
          <w:rFonts w:ascii="Times New Roman CYR" w:eastAsia="Times New Roman CYR" w:hAnsi="Times New Roman CYR" w:cs="Times New Roman CYR"/>
        </w:rPr>
        <w:t>...</w:t>
      </w:r>
      <w:r>
        <w:rPr>
          <w:rFonts w:ascii="Times New Roman CYR" w:eastAsia="Times New Roman CYR" w:hAnsi="Times New Roman CYR" w:cs="Times New Roman CYR"/>
        </w:rPr>
        <w:t>, г.Ханты-Мансийск</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Fonts w:ascii="Times New Roman CYR" w:eastAsia="Times New Roman CYR" w:hAnsi="Times New Roman CYR" w:cs="Times New Roman CYR"/>
        </w:rPr>
        <w:t>150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 рублей,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188105</w:t>
      </w:r>
      <w:r>
        <w:rPr>
          <w:rFonts w:ascii="Times New Roman CYR" w:eastAsia="Times New Roman CYR" w:hAnsi="Times New Roman CYR" w:cs="Times New Roman CYR"/>
        </w:rPr>
        <w:t>862508</w:t>
      </w:r>
      <w:r>
        <w:rPr>
          <w:rFonts w:ascii="Times New Roman CYR" w:eastAsia="Times New Roman CYR" w:hAnsi="Times New Roman CYR" w:cs="Times New Roman CYR"/>
        </w:rPr>
        <w:t>05061546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05</w:t>
      </w:r>
      <w:r>
        <w:rPr>
          <w:rFonts w:ascii="Times New Roman CYR" w:eastAsia="Times New Roman CYR" w:hAnsi="Times New Roman CYR" w:cs="Times New Roman CYR"/>
        </w:rPr>
        <w:t>.08.2025</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воспользовался.</w:t>
      </w:r>
    </w:p>
    <w:p>
      <w:pPr>
        <w:spacing w:before="0" w:after="0"/>
        <w:ind w:firstLine="708"/>
        <w:jc w:val="both"/>
      </w:pPr>
      <w:r>
        <w:rPr>
          <w:rFonts w:ascii="Times New Roman CYR" w:eastAsia="Times New Roman CYR" w:hAnsi="Times New Roman CYR" w:cs="Times New Roman CYR"/>
        </w:rPr>
        <w:t>В соответствии с частью 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в совершении вышеуказанных действий, то есть в неуплате штрафа в установленный законом срок, подтверждается исследованными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судом:</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13.01.2026</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05</w:t>
      </w:r>
      <w:r>
        <w:rPr>
          <w:rFonts w:ascii="Times New Roman CYR" w:eastAsia="Times New Roman CYR" w:hAnsi="Times New Roman CYR" w:cs="Times New Roman CYR"/>
        </w:rPr>
        <w:t>.08.2025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карточкой учета транспортного средства</w:t>
      </w:r>
      <w:r>
        <w:rPr>
          <w:rFonts w:ascii="Times New Roman CYR" w:eastAsia="Times New Roman CYR" w:hAnsi="Times New Roman CYR" w:cs="Times New Roman CYR"/>
        </w:rPr>
        <w:t>;</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уведомлением </w:t>
      </w:r>
      <w:r>
        <w:rPr>
          <w:rFonts w:ascii="Times New Roman CYR" w:eastAsia="Times New Roman CYR" w:hAnsi="Times New Roman CYR" w:cs="Times New Roman CYR"/>
        </w:rPr>
        <w:t>о том, что лицо привлекаемое к административной ответственности числится не уплатившим штраф.</w:t>
      </w:r>
    </w:p>
    <w:p>
      <w:pPr>
        <w:spacing w:before="0" w:after="0"/>
        <w:ind w:firstLine="708"/>
        <w:jc w:val="both"/>
      </w:pPr>
      <w:r>
        <w:rPr>
          <w:rFonts w:ascii="Times New Roman CYR" w:eastAsia="Times New Roman CYR" w:hAnsi="Times New Roman CYR" w:cs="Times New Roman CYR"/>
        </w:rPr>
        <w:t xml:space="preserve">Таким образом, вина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и его действия по факту неуплаты штрафа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Fonts w:ascii="Times New Roman CYR" w:eastAsia="Times New Roman CYR" w:hAnsi="Times New Roman CYR" w:cs="Times New Roman CYR"/>
        </w:rPr>
        <w:t>Вихорь А.Д</w:t>
      </w:r>
      <w:r>
        <w:rPr>
          <w:rFonts w:ascii="Times New Roman CYR" w:eastAsia="Times New Roman CYR" w:hAnsi="Times New Roman CYR" w:cs="Times New Roman CYR"/>
        </w:rPr>
        <w:t>.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Вихорь Антона Денисовича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наказание в виде административного штрафа в размере </w:t>
      </w:r>
      <w:r>
        <w:rPr>
          <w:rFonts w:ascii="Times New Roman CYR" w:eastAsia="Times New Roman CYR" w:hAnsi="Times New Roman CYR" w:cs="Times New Roman CYR"/>
        </w:rPr>
        <w:t>трех</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тысяч</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(30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0)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Постановление может быть обжаловано в Ханты-Мансийский 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суд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jc w:val="both"/>
      </w:pPr>
      <w:r>
        <w:rPr>
          <w:rFonts w:ascii="Times New Roman" w:eastAsia="Times New Roman" w:hAnsi="Times New Roman" w:cs="Times New Roman"/>
        </w:rPr>
        <w:t xml:space="preserve">(Аппарат Губернатора Ханты-Мансийского автономного округа – Югры) </w:t>
      </w:r>
    </w:p>
    <w:p>
      <w:pPr>
        <w:spacing w:before="0" w:after="0"/>
        <w:jc w:val="both"/>
      </w:pPr>
      <w:r>
        <w:rPr>
          <w:rFonts w:ascii="Times New Roman" w:eastAsia="Times New Roman" w:hAnsi="Times New Roman" w:cs="Times New Roman"/>
        </w:rPr>
        <w:t xml:space="preserve">л/с 04872D01540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Банк: РКЦ г. Ханты-Мансийска//УФК по ХМАО – Югре г.Ханты-Мансийск</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8601056281, КПП 860101001, ОКТМО – 718</w:t>
      </w:r>
      <w:r>
        <w:rPr>
          <w:rFonts w:ascii="Times New Roman" w:eastAsia="Times New Roman" w:hAnsi="Times New Roman" w:cs="Times New Roman"/>
        </w:rPr>
        <w:t>29</w:t>
      </w:r>
      <w:r>
        <w:rPr>
          <w:rFonts w:ascii="Times New Roman" w:eastAsia="Times New Roman" w:hAnsi="Times New Roman" w:cs="Times New Roman"/>
        </w:rPr>
        <w:t>000</w:t>
      </w:r>
    </w:p>
    <w:p>
      <w:pPr>
        <w:spacing w:before="0" w:after="0"/>
        <w:jc w:val="both"/>
      </w:pPr>
      <w:r>
        <w:rPr>
          <w:rFonts w:ascii="Times New Roman" w:eastAsia="Times New Roman" w:hAnsi="Times New Roman" w:cs="Times New Roman"/>
        </w:rPr>
        <w:t>КБК – 69011601203019000140,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0412365400285000472620169</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0"/>
      </w:pPr>
    </w:p>
    <w:p>
      <w:pPr>
        <w:spacing w:before="0" w:after="0"/>
      </w:pPr>
      <w:r>
        <w:rPr>
          <w:rStyle w:val="cat-UserDefinedgrp-23rplc-34"/>
          <w:rFonts w:ascii="Times New Roman CYR" w:eastAsia="Times New Roman CYR" w:hAnsi="Times New Roman CYR" w:cs="Times New Roman CYR"/>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1rplc-7">
    <w:name w:val="cat-UserDefined grp-21 rplc-7"/>
    <w:basedOn w:val="DefaultParagraphFont"/>
  </w:style>
  <w:style w:type="character" w:customStyle="1" w:styleId="cat-UserDefinedgrp-22rplc-16">
    <w:name w:val="cat-UserDefined grp-22 rplc-16"/>
    <w:basedOn w:val="DefaultParagraphFont"/>
  </w:style>
  <w:style w:type="character" w:customStyle="1" w:styleId="cat-UserDefinedgrp-23rplc-34">
    <w:name w:val="cat-UserDefined grp-23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